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ind w:left="1361"/>
        <w:jc w:val="center"/>
      </w:pPr>
      <w:r>
        <w:rPr>
          <w:rFonts w:ascii="Georgia" w:hAnsi="Georgia"/>
          <w:b/>
          <w:color w:val="0B1C2D"/>
          <w:sz w:val="28"/>
        </w:rPr>
        <w:t>DOKUMENTUMKEZELÉSI GYORSELLENŐRZŐ</w:t>
      </w:r>
    </w:p>
    <w:p>
      <w:pPr>
        <w:spacing w:after="120"/>
        <w:ind w:left="1134"/>
        <w:jc w:val="center"/>
      </w:pPr>
      <w:r>
        <w:rPr>
          <w:i/>
          <w:color w:val="555555"/>
          <w:sz w:val="15"/>
        </w:rPr>
        <w:t>Önellenőrző a tárolás, visszakereshetőség, verziókezelés és dokumentumfrissítés áttekintéséhez.</w:t>
      </w:r>
    </w:p>
    <w:p>
      <w:pPr>
        <w:spacing w:before="40" w:after="20"/>
      </w:pPr>
      <w:r>
        <w:rPr>
          <w:rFonts w:ascii="Georgia" w:hAnsi="Georgia"/>
          <w:b/>
          <w:color w:val="0B1C2D"/>
          <w:sz w:val="19"/>
        </w:rPr>
        <w:t>1. Tárolás és hozzáférés</w:t>
      </w:r>
    </w:p>
    <w:p>
      <w:pPr>
        <w:spacing w:after="8"/>
        <w:ind w:left="113"/>
      </w:pPr>
      <w:r>
        <w:rPr>
          <w:sz w:val="16"/>
        </w:rPr>
        <w:t>☐  A fontos dokumentumoknak meghatározott, közös helyük van.</w:t>
      </w:r>
    </w:p>
    <w:p>
      <w:pPr>
        <w:spacing w:after="8"/>
        <w:ind w:left="113"/>
      </w:pPr>
      <w:r>
        <w:rPr>
          <w:sz w:val="16"/>
        </w:rPr>
        <w:t>☐  A munkatársak tudják, hol találják a szükséges anyagokat.</w:t>
      </w:r>
    </w:p>
    <w:p>
      <w:pPr>
        <w:spacing w:after="8"/>
        <w:ind w:left="113"/>
      </w:pPr>
      <w:r>
        <w:rPr>
          <w:sz w:val="16"/>
        </w:rPr>
        <w:t>☐  A hozzáférési jogosultságok egyértelműek és indokoltak.</w:t>
      </w:r>
    </w:p>
    <w:p>
      <w:pPr>
        <w:spacing w:after="8"/>
        <w:ind w:left="113"/>
      </w:pPr>
      <w:r>
        <w:rPr>
          <w:sz w:val="16"/>
        </w:rPr>
        <w:t>☐  Nem ugyanaz a dokumentum több, egymástól független helyen él.</w:t>
      </w:r>
    </w:p>
    <w:p>
      <w:pPr>
        <w:spacing w:before="40" w:after="20"/>
      </w:pPr>
      <w:r>
        <w:rPr>
          <w:rFonts w:ascii="Georgia" w:hAnsi="Georgia"/>
          <w:b/>
          <w:color w:val="0B1C2D"/>
          <w:sz w:val="19"/>
        </w:rPr>
        <w:t>2. Elnevezés és visszakereshetőség</w:t>
      </w:r>
    </w:p>
    <w:p>
      <w:pPr>
        <w:spacing w:after="8"/>
        <w:ind w:left="113"/>
      </w:pPr>
      <w:r>
        <w:rPr>
          <w:sz w:val="16"/>
        </w:rPr>
        <w:t>☐  A fájlnevek következetes szabály szerint készülnek.</w:t>
      </w:r>
    </w:p>
    <w:p>
      <w:pPr>
        <w:spacing w:after="8"/>
        <w:ind w:left="113"/>
      </w:pPr>
      <w:r>
        <w:rPr>
          <w:sz w:val="16"/>
        </w:rPr>
        <w:t>☐  A dokumentum neve alapján érthető annak tartalma.</w:t>
      </w:r>
    </w:p>
    <w:p>
      <w:pPr>
        <w:spacing w:after="8"/>
        <w:ind w:left="113"/>
      </w:pPr>
      <w:r>
        <w:rPr>
          <w:sz w:val="16"/>
        </w:rPr>
        <w:t>☐  A dátum, projekt vagy ügyfél szükség esetén szerepel a fájlnévben.</w:t>
      </w:r>
    </w:p>
    <w:p>
      <w:pPr>
        <w:spacing w:after="8"/>
        <w:ind w:left="113"/>
      </w:pPr>
      <w:r>
        <w:rPr>
          <w:sz w:val="16"/>
        </w:rPr>
        <w:t>☐  A dokumentumok keresés nélkül is logikusan megtalálhatók.</w:t>
      </w:r>
    </w:p>
    <w:p>
      <w:pPr>
        <w:spacing w:before="40" w:after="20"/>
      </w:pPr>
      <w:r>
        <w:rPr>
          <w:rFonts w:ascii="Georgia" w:hAnsi="Georgia"/>
          <w:b/>
          <w:color w:val="0B1C2D"/>
          <w:sz w:val="19"/>
        </w:rPr>
        <w:t>3. Verziókezelés</w:t>
      </w:r>
    </w:p>
    <w:p>
      <w:pPr>
        <w:spacing w:after="8"/>
        <w:ind w:left="113"/>
      </w:pPr>
      <w:r>
        <w:rPr>
          <w:sz w:val="16"/>
        </w:rPr>
        <w:t>☐  Egyértelmű, melyik dokumentum az aktuális verzió.</w:t>
      </w:r>
    </w:p>
    <w:p>
      <w:pPr>
        <w:spacing w:after="8"/>
        <w:ind w:left="113"/>
      </w:pPr>
      <w:r>
        <w:rPr>
          <w:sz w:val="16"/>
        </w:rPr>
        <w:t>☐  A jóváhagyott és munkaverziók megkülönböztethetők.</w:t>
      </w:r>
    </w:p>
    <w:p>
      <w:pPr>
        <w:spacing w:after="8"/>
        <w:ind w:left="113"/>
      </w:pPr>
      <w:r>
        <w:rPr>
          <w:sz w:val="16"/>
        </w:rPr>
        <w:t>☐  A régi verziók archiválva vannak, nem keverednek az aktuálissal.</w:t>
      </w:r>
    </w:p>
    <w:p>
      <w:pPr>
        <w:spacing w:after="8"/>
        <w:ind w:left="113"/>
      </w:pPr>
      <w:r>
        <w:rPr>
          <w:sz w:val="16"/>
        </w:rPr>
        <w:t>☐  Fontos módosításoknál visszakövethető, mi változott.</w:t>
      </w:r>
    </w:p>
    <w:p>
      <w:pPr>
        <w:spacing w:before="40" w:after="20"/>
      </w:pPr>
      <w:r>
        <w:rPr>
          <w:rFonts w:ascii="Georgia" w:hAnsi="Georgia"/>
          <w:b/>
          <w:color w:val="0B1C2D"/>
          <w:sz w:val="19"/>
        </w:rPr>
        <w:t>4. Felelősség és frissítés</w:t>
      </w:r>
    </w:p>
    <w:p>
      <w:pPr>
        <w:spacing w:after="8"/>
        <w:ind w:left="113"/>
      </w:pPr>
      <w:r>
        <w:rPr>
          <w:sz w:val="16"/>
        </w:rPr>
        <w:t>☐  Meghatározott, ki frissíti az egyes dokumentumokat.</w:t>
      </w:r>
    </w:p>
    <w:p>
      <w:pPr>
        <w:spacing w:after="8"/>
        <w:ind w:left="113"/>
      </w:pPr>
      <w:r>
        <w:rPr>
          <w:sz w:val="16"/>
        </w:rPr>
        <w:t>☐  Az elavult sablonok és útmutatók rendszeresen kivezetésre kerülnek.</w:t>
      </w:r>
    </w:p>
    <w:p>
      <w:pPr>
        <w:spacing w:after="8"/>
        <w:ind w:left="113"/>
      </w:pPr>
      <w:r>
        <w:rPr>
          <w:sz w:val="16"/>
        </w:rPr>
        <w:t>☐  A változásokról az érintettek értesülnek.</w:t>
      </w:r>
    </w:p>
    <w:p>
      <w:pPr>
        <w:spacing w:after="8"/>
        <w:ind w:left="113"/>
      </w:pPr>
      <w:r>
        <w:rPr>
          <w:sz w:val="16"/>
        </w:rPr>
        <w:t>☐  Új munkatárs számára is érthető a dokumentáció logikája.</w:t>
      </w:r>
    </w:p>
    <w:p>
      <w:pPr>
        <w:spacing w:before="40" w:after="20"/>
      </w:pPr>
      <w:r>
        <w:rPr>
          <w:rFonts w:ascii="Georgia" w:hAnsi="Georgia"/>
          <w:b/>
          <w:color w:val="0B1C2D"/>
          <w:sz w:val="19"/>
        </w:rPr>
        <w:t>Az első 3 rendezendő dokumentációs pont</w:t>
      </w:r>
    </w:p>
    <w:p>
      <w:pPr>
        <w:spacing w:after="0"/>
      </w:pPr>
      <w:r>
        <w:rPr>
          <w:sz w:val="16"/>
        </w:rPr>
        <w:t>1. __________________________________________________________________</w:t>
      </w:r>
    </w:p>
    <w:p>
      <w:pPr>
        <w:spacing w:after="0"/>
      </w:pPr>
      <w:r>
        <w:rPr>
          <w:sz w:val="16"/>
        </w:rPr>
        <w:t>2. __________________________________________________________________</w:t>
      </w:r>
    </w:p>
    <w:p>
      <w:pPr>
        <w:spacing w:after="0"/>
      </w:pPr>
      <w:r>
        <w:rPr>
          <w:sz w:val="16"/>
        </w:rPr>
        <w:t>3. __________________________________________________________________</w:t>
      </w:r>
    </w:p>
    <w:p>
      <w:pPr>
        <w:spacing w:before="40" w:after="20"/>
      </w:pPr>
      <w:r>
        <w:rPr>
          <w:rFonts w:ascii="Georgia" w:hAnsi="Georgia"/>
          <w:b/>
          <w:color w:val="0B1C2D"/>
          <w:sz w:val="19"/>
        </w:rPr>
        <w:t>Következő konkrét lépés</w:t>
      </w:r>
    </w:p>
    <w:p>
      <w:pPr>
        <w:spacing w:after="0"/>
      </w:pPr>
      <w:r>
        <w:t>__________________________________________________________________________________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__________________________________________________________________________________</w:t>
      </w:r>
    </w:p>
    <w:sectPr w:rsidR="00FC693F" w:rsidRPr="0006063C" w:rsidSect="00034616">
      <w:headerReference w:type="default" r:id="rId9"/>
      <w:pgSz w:w="11906" w:h="16838"/>
      <w:pgMar w:top="2721" w:right="964" w:bottom="1474" w:left="2835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wrapNone/>
          <wp:docPr id="1" name="Picture 1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projektrend_levélpapír_cimtele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